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27 vom 28. Juli 2017</w:t>
      </w:r>
    </w:p>
    <w:p>
      <w:r>
        <w:t>GR Gerichte, 2017-07-28, DE</w:t>
      </w:r>
    </w:p>
    <w:p>
      <w:r>
        <w:rPr>
          <w:b/>
        </w:rPr>
        <w:t xml:space="preserve">Quelle: </w:t>
      </w:r>
      <w:r>
        <w:t>https://mcp.opencaselaw.ch/entscheid/gr_gerichte_SK2 2017 27</w:t>
      </w:r>
    </w:p>
    <w:p>
      <w:r>
        <w:t>FR: GR_GERICHTE SK2 2017 27 du 28 juillet 2017</w:t>
      </w:r>
    </w:p>
    <w:p>
      <w:r>
        <w:t>IT: GR_GERICHTE SK2 2017 27 del 28 luglio 2017</w:t>
      </w:r>
    </w:p>
    <w:p>
      <w:pPr>
        <w:pStyle w:val="Heading2"/>
      </w:pPr>
      <w:r>
        <w:t>Regeste</w:t>
      </w:r>
    </w:p>
    <w:p>
      <w:r>
        <w:t>Widerhandlung gegen ein gerichtliches Verbot (Art. 258 Abs. 1 ZPO) | Beschwerde gegen Regionalgericht (früher Bezirksgericht)</w:t>
      </w:r>
    </w:p>
    <w:p>
      <w:pPr>
        <w:pStyle w:val="Heading2"/>
      </w:pPr>
      <w:r>
        <w:t>Erwägungen</w:t>
      </w:r>
    </w:p>
    <w:p>
      <w:r>
        <w:rPr>
          <w:b/>
        </w:rPr>
        <w:t>E. 30</w:t>
      </w:r>
    </w:p>
    <w:p>
      <w:r>
        <w:t>Oktober 2009 E. 2.2.). Die in einer Eventualbegründung in Aussicht gestellte Einstellung des Strafverfahrens kann mangels Anfechtungsobjekt im vorliegenden Beschwerdeverfahren demnach grundsätzlich nicht geprüft werden. Aus pro- zessökonomischen Gründen ist nachfolgend allerdings dennoch kurz auf die Eventualbegründung der Vorderrichterin einzugehen. 5.2. Der Text des Amtsverbots ist genügend klar formuliert. Zwar lässt der Hin- weis auf Unberechtigte tatsächlich den von der Einzelrichterin getroffenen Um- kehrschluss zu. Es liegt indessen auf der Hand, dass grundsätzlich nur dinglich oder obligatorisch Berechtigte im Rahmen der Hausordnung und Nutzungsord- nung parkierungsberechtigt sind. Besucher haben sich auf die vorgesehenen Be- sucherparkplätze zu beschränken. Sie können keineswegs annehmen, sie seien berechtigt, ihr Fahrzeug unbesehen des Amtsverbots auch ausserhalb dieser, für sie vorgesehenen Parkflächen abzustellen. Dies macht nicht einmal der Be- schwerdegegner selbst geltend. Im Übrigen ist der Hinweis auf "Unberechtigte" in nahezu jedem Amtsverbot enthalten und entspricht der üblichen Formulierung. Auch deshalb kann diesbezüglich nicht ernsthaft von einer unklaren Formulierung gesprochen werden. 5.3. Eine andere Frage ist, ob die befreundeten Mieter, bei welchen der Be- schuldigte zu Besuch war, ihrem Besucher allenfalls das Parkieren erlaubt oder eine falsche Information erteilt haben. Diesfalls würde es möglicherweise an ei- nem tatbeständlichen Verhalten fehlen. Das gerichtliche Verbot steht nämlich un- ter einem Erlaubnisvorbehalt (Luca Tenchio/Kristina Tenchio, a.a.O., N 24 zu Art. 258 ZPO). Ausserdem ist in subjektiver Hinsicht Vorsatz oder Fahrlässigkeit erforderlich (Andreas Güngerich, in: Hausheer/Walter [Hrsg.], Berner Kommentar zum schweizerischen Privatrecht, Schweizerische Zivilprozessordnung, Band II, Art. 150-352 ZPO, Bern 2012, N 22 zu Art. 258 ZPO), was möglicherweise bei</w:t>
      </w:r>
    </w:p>
    <w:p>
      <w:r>
        <w:t>Seite 8 — 9 einer allfälligen Fehlinformation durch die befreundeten Mieter ebenfalls zu ver- neinen wäre. Diese Fragen hat die Einzelrichterin ebenfalls nicht geklärt. 5.4. Auch die Art der verbotenen Besitzesstörung ist klar formuliert. Sie er- schöpft sich im "Parkieren auf der Skistrasse, den Parkplätzen und den Garagen- vorplätzen". Eine zusätzliche besondere Behinderung durch das Parkieren ist da- bei entgegen dem, was die Einzelrichterin offenbar annimmt, nicht erforderlich, zumal es beim Amtsverbot um Besitzesschutz geht und dieser Besitz bereits durch das blosse unberechtigte Parkieren beeinträchtigt wird. Näher zu prüfen ist indessen der Bestand, Inhalt und Umfang der geltend gemachten Nutzungsrechte des Strafantragstellers. Daraus ergibt sich, ob und inwieweit dessen Rechte durch das beanstandete Parkieren tatsächlich betroffen waren. 5.5. Aufgrund des jetzigen Beweisergebnisses sind unter Berücksichtigung der Eventualbegründung der Vorderrichterin nach dem Gesagten auch die Vorausset- zungen einer Einstellung des Verfahrens nach Art. 319 StPO nicht gegeben. 6.1. Die Kosten im Rechtsmittelverfahren tragen die Parteien nach Massgabe ihres Obsiegens oder Unterliegens (Art. 428 Abs. 1 StPO). Im vorliegenden Fall erreichte der Beschwerdeführer mit seiner Beschwerde, dass die angefochtene Nichtanhandnahmeverfügung aufgehoben und im Sinne der Erwägungen zur wei- teren Behandlung an die Vorinstanz zurückgewiesen wird. Unter diesen Umstän- den sind die Kosten des Beschwerdeverfahrens in Höhe von CHF 1'000.00 dem Kanton Graubünden aufzuerlegen (Art. 428 Abs. 4 StPO i.V.m. Art. 8 der Verord- nung über die Gerichtsgebühren in Strafverfahren [VGS; BR 350.210]). 6.2. Eine Parteientschädigung wird vorliegend nicht zugesprochen, da der Be- schwerdeführer nicht anwaltlich vertreten ist und diesem auch ansonsten kein nennenswerter Aufwand entstanden ist.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